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85F2" w14:textId="65417FDB" w:rsidR="00283DEC" w:rsidRPr="009D5D28" w:rsidRDefault="009312DF" w:rsidP="00D8181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u w:val="single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u w:val="single"/>
          <w:lang w:eastAsia="cs-CZ"/>
          <w14:ligatures w14:val="none"/>
        </w:rPr>
        <w:t xml:space="preserve">Tematické okruhy ke státní závěrečné zkoušce (SZZ) </w:t>
      </w:r>
      <w:r w:rsidR="00030A22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u w:val="single"/>
          <w:lang w:eastAsia="cs-CZ"/>
          <w14:ligatures w14:val="none"/>
        </w:rPr>
        <w:br/>
      </w:r>
      <w:r w:rsidRPr="009D5D28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u w:val="single"/>
          <w:lang w:eastAsia="cs-CZ"/>
          <w14:ligatures w14:val="none"/>
        </w:rPr>
        <w:t xml:space="preserve">navazujícího magisterského studijního programu N0988P360004 </w:t>
      </w:r>
    </w:p>
    <w:p w14:paraId="5E934928" w14:textId="028B9AFD" w:rsidR="009312DF" w:rsidRPr="009D5D28" w:rsidRDefault="009312DF" w:rsidP="00D8181C">
      <w:pPr>
        <w:widowControl w:val="0"/>
        <w:kinsoku w:val="0"/>
        <w:overflowPunct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u w:val="single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u w:val="single"/>
          <w:lang w:eastAsia="cs-CZ"/>
          <w14:ligatures w14:val="none"/>
        </w:rPr>
        <w:t>Systémová integrace procesů ve zdravotnictví</w:t>
      </w:r>
    </w:p>
    <w:p w14:paraId="4B780CB3" w14:textId="77777777" w:rsidR="00D8181C" w:rsidRDefault="00D8181C" w:rsidP="009D5D28">
      <w:pPr>
        <w:pStyle w:val="text"/>
        <w:ind w:firstLine="0"/>
        <w:rPr>
          <w:spacing w:val="-4"/>
          <w:sz w:val="22"/>
        </w:rPr>
      </w:pPr>
      <w:r w:rsidRPr="00D8181C">
        <w:rPr>
          <w:spacing w:val="-4"/>
          <w:sz w:val="22"/>
        </w:rPr>
        <w:t xml:space="preserve">Dle čl. 7 odst. 3 Směrnice děkana pro realizaci bakalářského a magisterského studijního programu na Českém vysokém učení technickém v Praze – Fakultě biomedicínského inženýrství stanovuje děkan na základě návrhu vedoucího katedry biomedicínské techniky níže uvedené tematické okruhy. </w:t>
      </w:r>
    </w:p>
    <w:p w14:paraId="16A76030" w14:textId="687E8DC6" w:rsidR="008614F8" w:rsidRDefault="008614F8" w:rsidP="009D5D28">
      <w:pPr>
        <w:pStyle w:val="text"/>
        <w:ind w:firstLine="0"/>
        <w:rPr>
          <w:spacing w:val="-4"/>
          <w:sz w:val="22"/>
        </w:rPr>
      </w:pPr>
      <w:r w:rsidRPr="008614F8">
        <w:rPr>
          <w:spacing w:val="-4"/>
          <w:sz w:val="22"/>
        </w:rPr>
        <w:t xml:space="preserve">Tematické okruhy jsou v souladu s obsahem schválené žádosti Radou pro vnitřní hodnocení ČVUT o udělení akreditace navazujícímu magisterskému </w:t>
      </w:r>
      <w:r>
        <w:rPr>
          <w:spacing w:val="-4"/>
          <w:sz w:val="22"/>
        </w:rPr>
        <w:t>profesně</w:t>
      </w:r>
      <w:r w:rsidRPr="008614F8">
        <w:rPr>
          <w:spacing w:val="-4"/>
          <w:sz w:val="22"/>
        </w:rPr>
        <w:t xml:space="preserve"> zaměřenému studijnímu programu Systémová integrace procesů ve zdravotnictví se standardní dobou studia 2 roky a formou studia </w:t>
      </w:r>
      <w:proofErr w:type="gramStart"/>
      <w:r w:rsidRPr="008614F8">
        <w:rPr>
          <w:spacing w:val="-4"/>
          <w:sz w:val="22"/>
        </w:rPr>
        <w:t xml:space="preserve">prezenční </w:t>
      </w:r>
      <w:r>
        <w:rPr>
          <w:spacing w:val="-4"/>
          <w:sz w:val="22"/>
        </w:rPr>
        <w:t xml:space="preserve"> a</w:t>
      </w:r>
      <w:proofErr w:type="gramEnd"/>
      <w:r>
        <w:rPr>
          <w:spacing w:val="-4"/>
          <w:sz w:val="22"/>
        </w:rPr>
        <w:t xml:space="preserve"> kombinovanou </w:t>
      </w:r>
      <w:r w:rsidRPr="008614F8">
        <w:rPr>
          <w:spacing w:val="-4"/>
          <w:sz w:val="22"/>
        </w:rPr>
        <w:t xml:space="preserve">ze dne </w:t>
      </w:r>
      <w:r>
        <w:rPr>
          <w:spacing w:val="-4"/>
          <w:sz w:val="22"/>
        </w:rPr>
        <w:t>14</w:t>
      </w:r>
      <w:r w:rsidRPr="008614F8">
        <w:rPr>
          <w:spacing w:val="-4"/>
          <w:sz w:val="22"/>
        </w:rPr>
        <w:t xml:space="preserve">. </w:t>
      </w:r>
      <w:r>
        <w:rPr>
          <w:spacing w:val="-4"/>
          <w:sz w:val="22"/>
        </w:rPr>
        <w:t>listopadu</w:t>
      </w:r>
      <w:r w:rsidRPr="008614F8">
        <w:rPr>
          <w:spacing w:val="-4"/>
          <w:sz w:val="22"/>
        </w:rPr>
        <w:t xml:space="preserve"> 2023. Tematické okruhy jsou koncipovány jako nezbytné minimum znalostí, vědomostí a dovedností, které jsou nutné pro úspěšné uplatnění absolventa studijního programu Systémová integrace procesů ve zdravotnictví</w:t>
      </w:r>
      <w:r w:rsidR="003D4E16">
        <w:rPr>
          <w:spacing w:val="-4"/>
          <w:sz w:val="22"/>
        </w:rPr>
        <w:t xml:space="preserve"> v praxi</w:t>
      </w:r>
      <w:r w:rsidRPr="008614F8">
        <w:rPr>
          <w:spacing w:val="-4"/>
          <w:sz w:val="22"/>
        </w:rPr>
        <w:t>.</w:t>
      </w:r>
      <w:r>
        <w:rPr>
          <w:spacing w:val="-4"/>
          <w:sz w:val="22"/>
        </w:rPr>
        <w:t xml:space="preserve"> </w:t>
      </w:r>
    </w:p>
    <w:p w14:paraId="3707C395" w14:textId="12C5E5FA" w:rsidR="009312DF" w:rsidRPr="009D5D28" w:rsidRDefault="008614F8" w:rsidP="009D5D28">
      <w:pPr>
        <w:pStyle w:val="text"/>
        <w:ind w:firstLine="0"/>
        <w:rPr>
          <w:spacing w:val="-4"/>
          <w:sz w:val="22"/>
        </w:rPr>
      </w:pPr>
      <w:r w:rsidRPr="008614F8">
        <w:rPr>
          <w:spacing w:val="-4"/>
          <w:sz w:val="22"/>
        </w:rPr>
        <w:t xml:space="preserve">Státní závěrečná zkouška (SZZ) se skládá z obhajoby diplomové práce a z teoretické zkoušky tří povinných tematických okruhů. SZZ probíhají v termínech podle časového plánu příslušného akademického roku. </w:t>
      </w:r>
      <w:r w:rsidR="009312DF" w:rsidRPr="009D5D28">
        <w:rPr>
          <w:spacing w:val="-4"/>
          <w:sz w:val="22"/>
        </w:rPr>
        <w:t xml:space="preserve">SZZ se zahajuje obhajobou diplomové práce. Následují zkoušky ze tří povinných tematických okruhů. Na počátku této části si student vylosuje čísla tří otázek (po jedné otázce z každého tematického okruhu). Zkoušející klade otázky zapadající do vylosovaného okruhu, zpravidla však nevyčerpá veškerou náplň daného okruhu. Nejsou však vyloučeny ani otázky, které přímo souvisí s okruhem či s tématem diplomové práce, ale jsou obsahem osnov jiných, bezprostředně souvisejících problematik. Doplňující otázky zadávají členové komise, popř. člen komise určený předsedou komise. Odpovědi na otázky následují bezprostředně po zadání a bez písemné přípravy. </w:t>
      </w:r>
    </w:p>
    <w:p w14:paraId="3240331D" w14:textId="6478CF6D" w:rsidR="00BB4A82" w:rsidRPr="009D5D28" w:rsidRDefault="009312DF" w:rsidP="009D5D28">
      <w:pPr>
        <w:pStyle w:val="Heading11"/>
        <w:kinsoku w:val="0"/>
        <w:overflowPunct w:val="0"/>
        <w:spacing w:before="480" w:after="240" w:line="251" w:lineRule="exact"/>
        <w:ind w:left="102" w:hanging="102"/>
        <w:jc w:val="center"/>
        <w:outlineLvl w:val="9"/>
        <w:rPr>
          <w:spacing w:val="-3"/>
          <w:sz w:val="24"/>
          <w:szCs w:val="24"/>
          <w:u w:val="thick"/>
        </w:rPr>
      </w:pPr>
      <w:r w:rsidRPr="009D5D28">
        <w:rPr>
          <w:spacing w:val="-3"/>
          <w:sz w:val="24"/>
          <w:szCs w:val="24"/>
          <w:u w:val="thick"/>
        </w:rPr>
        <w:t xml:space="preserve">Tematický okruh </w:t>
      </w:r>
      <w:r w:rsidR="00900532" w:rsidRPr="009D5D28">
        <w:rPr>
          <w:spacing w:val="-3"/>
          <w:sz w:val="24"/>
          <w:szCs w:val="24"/>
          <w:u w:val="thick"/>
        </w:rPr>
        <w:t>PROVOZ ZDRAVOTNICKÝCH ZAŘÍZENÍ</w:t>
      </w:r>
    </w:p>
    <w:p w14:paraId="3D2FD0E7" w14:textId="2F93D9A3" w:rsidR="0080399A" w:rsidRPr="009D5D28" w:rsidRDefault="0080399A" w:rsidP="009D5D2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>Finanční řízení zdravotnického zařízení. Hodnocení finanční výkonnosti.</w:t>
      </w:r>
      <w:r w:rsidR="00C22679"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 Finanční výkazy. Vazby mezi finančními výkazy. </w:t>
      </w: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>Finanční analýza a její metody.  </w:t>
      </w:r>
    </w:p>
    <w:p w14:paraId="2785CB35" w14:textId="7996EA66" w:rsidR="00C22679" w:rsidRPr="009D5D28" w:rsidRDefault="00900532" w:rsidP="009D5D2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Majetková a kapitálová struktura zdravotnického zařízení. </w:t>
      </w:r>
      <w:r w:rsidR="00C22679"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Optimalizace kapitálové struktury. Finanční páka, daňový štít. </w:t>
      </w:r>
    </w:p>
    <w:p w14:paraId="4FDAA34A" w14:textId="0120664E" w:rsidR="00900532" w:rsidRPr="009D5D28" w:rsidRDefault="00900532" w:rsidP="009D5D2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>Nákladová a výnosová struktura zdravotnického zařízení</w:t>
      </w:r>
      <w:r w:rsidR="00C22679"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 a její hodnocení. </w:t>
      </w:r>
    </w:p>
    <w:p w14:paraId="2F7081BF" w14:textId="0841982D" w:rsidR="00161196" w:rsidRPr="009D5D28" w:rsidRDefault="00161196" w:rsidP="009D5D2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Plánování a rozpočtování ve zdravotnictví.  Členění plánů z hlediska věcného, časového, účelového a úrovně řídicích procesů. Hierarchie cílů v organizaci, MBO. Význam a smysl plánování. </w:t>
      </w:r>
      <w:r w:rsidR="00586D4D"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Strategické dokumenty MZ ČR. </w:t>
      </w:r>
    </w:p>
    <w:p w14:paraId="07A99737" w14:textId="1DA40661" w:rsidR="00161196" w:rsidRPr="009D5D28" w:rsidRDefault="00D96E8B" w:rsidP="009D5D2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Právní formy poskytovatelů zdravotní péče. Příspěvková organizace a její poslání. Podnikání ve </w:t>
      </w:r>
      <w:r w:rsidR="001E33D8"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>zd</w:t>
      </w: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ravotnictví. </w:t>
      </w:r>
      <w:r w:rsidR="00586D4D"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Kritéria volby právní formy. </w:t>
      </w:r>
    </w:p>
    <w:p w14:paraId="594D957D" w14:textId="2BEDF587" w:rsidR="00586D4D" w:rsidRPr="009D5D28" w:rsidRDefault="00586D4D" w:rsidP="009D5D2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Investiční činnost zdravotnického zařízení. Plánování a hodnocení investic. Členění investic. Zdroje financování investic. Odpisy a jejich funkce. </w:t>
      </w:r>
    </w:p>
    <w:p w14:paraId="05BDD3A6" w14:textId="71C58979" w:rsidR="0080399A" w:rsidRPr="009D5D28" w:rsidRDefault="0080399A" w:rsidP="009D5D2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Kontrola a její význam při řízení zdravotnického zařízení. Controlling a interní audit. Management rizik. </w:t>
      </w:r>
    </w:p>
    <w:p w14:paraId="2E5F24FB" w14:textId="3B936802" w:rsidR="00283DEC" w:rsidRPr="009D5D28" w:rsidRDefault="00283DEC" w:rsidP="009D5D2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Organizování a jeho význam při řízení zdravotnického zařízení. Typy organizačních struktur. Outsourcing, jeho přínosy i rizika. </w:t>
      </w:r>
      <w:proofErr w:type="spellStart"/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>Change</w:t>
      </w:r>
      <w:proofErr w:type="spellEnd"/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 management a jeho postavení v organizování.</w:t>
      </w:r>
      <w:r w:rsidR="00A56472"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 Implementace změn ve zdravotnictví. </w:t>
      </w:r>
    </w:p>
    <w:p w14:paraId="4E18023B" w14:textId="77777777" w:rsidR="00283DEC" w:rsidRPr="009D5D28" w:rsidRDefault="00283DEC" w:rsidP="009D5D2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Optimalizační přístupy v managementu. </w:t>
      </w:r>
      <w:proofErr w:type="spellStart"/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>Lean</w:t>
      </w:r>
      <w:proofErr w:type="spellEnd"/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 management, problematika plýtvání ve zdravotnictví. Vybrané techniky </w:t>
      </w:r>
      <w:proofErr w:type="spellStart"/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>lean</w:t>
      </w:r>
      <w:proofErr w:type="spellEnd"/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 managementu. </w:t>
      </w:r>
    </w:p>
    <w:p w14:paraId="3337A3DF" w14:textId="10B4A526" w:rsidR="00A56472" w:rsidRPr="009D5D28" w:rsidRDefault="00283DEC" w:rsidP="009D5D2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Personální management ve zdravotnictví, metody hodnocení zaměstnanců, styly vedení. </w:t>
      </w:r>
      <w:r w:rsidR="0058109C"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Motivace zaměstnanců. </w:t>
      </w:r>
    </w:p>
    <w:p w14:paraId="3FB2B086" w14:textId="30A65EF8" w:rsidR="00A56472" w:rsidRPr="009D5D28" w:rsidRDefault="00A56472" w:rsidP="009D5D2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lastRenderedPageBreak/>
        <w:t>Rozhodování a odpovědnost v procesech řízení zdravotnického zařízení. Meritorní, funkční a procedurální stránka rozhodování. Typy rozhodovacích procesů. Skupinové vs. individuální rozhodování. Bariéry rozhodování.</w:t>
      </w:r>
    </w:p>
    <w:p w14:paraId="4A42645D" w14:textId="77777777" w:rsidR="009E27DA" w:rsidRPr="009D5D28" w:rsidRDefault="009E27DA" w:rsidP="009D5D2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Definice pojmu kvalita, její význam. Přístupy k řízení kvality. Zásady a principy v systému řízení kvality. </w:t>
      </w:r>
    </w:p>
    <w:p w14:paraId="7011220B" w14:textId="77777777" w:rsidR="009E27DA" w:rsidRPr="009D5D28" w:rsidRDefault="009E27DA" w:rsidP="009D5D2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>Normativní přístupy k řízení kvality, normy z oblasti systémů managementu kvality ISO 9001, význam ČIA, proces certifikace systémů managementu kvality.</w:t>
      </w:r>
    </w:p>
    <w:p w14:paraId="5C53ED2A" w14:textId="77777777" w:rsidR="009E27DA" w:rsidRPr="009D5D28" w:rsidRDefault="009E27DA" w:rsidP="009D5D2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Systém řízení kvality u výrobců zdravotnických prostředků, ISO 13485, principy auditu oznámeného subjektu, způsoby posouzení shody v souvislosti s auditem oznámeného subjektu. </w:t>
      </w:r>
    </w:p>
    <w:p w14:paraId="1ABE5720" w14:textId="77777777" w:rsidR="009E27DA" w:rsidRPr="009D5D28" w:rsidRDefault="009E27DA" w:rsidP="009D5D2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>Hodnocení kvality a bezpečí zdravotních služeb. Interní hodnocení kvality a bezpečí zdravotních služeb, externí hodnocení kvality a bezpečí zdravotních služeb, principy akreditace zdravotnických zařízení, standardy kvality, osoby oprávněné k provádění hodnocení kvality a bezpečí, SAK.</w:t>
      </w:r>
    </w:p>
    <w:p w14:paraId="163903AC" w14:textId="77777777" w:rsidR="00D96E8B" w:rsidRPr="009D5D28" w:rsidRDefault="00D96E8B" w:rsidP="009D5D2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>Legislativní regulace poskytování zdravotních služeb. Definice zdravotní služby a specifické zdravotní služby, podmínky poskytování zdravotních služeb, práva pacientů, informovaný souhlas, práva a povinnosti zdravotnických pracovníků.</w:t>
      </w:r>
    </w:p>
    <w:p w14:paraId="2D1C107E" w14:textId="7045C9B3" w:rsidR="00D96E8B" w:rsidRPr="009D5D28" w:rsidRDefault="00D96E8B" w:rsidP="009D5D2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>Legislativní regulace zdravotnických prostředků v EU. Definice zdravotnického prostředku, klasifikace zdravotnických prostředků, oznámené subjekty a posouzení shody.</w:t>
      </w:r>
    </w:p>
    <w:p w14:paraId="6D26B701" w14:textId="77777777" w:rsidR="00D96E8B" w:rsidRPr="009D5D28" w:rsidRDefault="00D96E8B" w:rsidP="009D5D2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Legislativní regulace požadavků pro uvedení zdravotnických prostředků na trh EU. Technická dokumentace, klinické hodnocení, sledování po uvedení na trh, systém </w:t>
      </w:r>
      <w:proofErr w:type="spellStart"/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>vigilance</w:t>
      </w:r>
      <w:proofErr w:type="spellEnd"/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>.</w:t>
      </w:r>
    </w:p>
    <w:p w14:paraId="248F3E24" w14:textId="6E5097D8" w:rsidR="00D96E8B" w:rsidRPr="009D5D28" w:rsidRDefault="00D96E8B" w:rsidP="009D5D2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Legislativní regulace zdravotnických prostředků na národní úrovni. Zákon o zdravotnických prostředcích </w:t>
      </w:r>
      <w:r w:rsidR="00317C6B"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a </w:t>
      </w: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>diagnostických zdravotnických prostředcích in vitro, činnosti regulatorních orgánů, povinnosti dodavatelů ZP, informační systémy zdravotnických prostředků. </w:t>
      </w:r>
    </w:p>
    <w:p w14:paraId="0508D8A0" w14:textId="77777777" w:rsidR="00D96E8B" w:rsidRPr="009D5D28" w:rsidRDefault="00D96E8B" w:rsidP="009D5D2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9D5D28">
        <w:rPr>
          <w:rFonts w:ascii="Times New Roman" w:eastAsia="Calibri" w:hAnsi="Times New Roman" w:cs="Times New Roman"/>
          <w:kern w:val="0"/>
          <w:szCs w:val="24"/>
          <w14:ligatures w14:val="none"/>
        </w:rPr>
        <w:t>Legislativní regulace prostředků s měřící funkcí. Zákon o metrologii, druhy měřidel, zajišťování jednotnosti a správnosti měřidel, metrologická návaznost, nemocniční meteorologický řád.</w:t>
      </w:r>
    </w:p>
    <w:p w14:paraId="6BB877FA" w14:textId="1FAAEE73" w:rsidR="009E27DA" w:rsidRPr="009D5D28" w:rsidRDefault="009E27DA" w:rsidP="009D5D28">
      <w:pPr>
        <w:pStyle w:val="Heading11"/>
        <w:kinsoku w:val="0"/>
        <w:overflowPunct w:val="0"/>
        <w:spacing w:before="480" w:after="240" w:line="251" w:lineRule="exact"/>
        <w:ind w:left="102" w:hanging="102"/>
        <w:jc w:val="center"/>
        <w:outlineLvl w:val="9"/>
        <w:rPr>
          <w:spacing w:val="-3"/>
          <w:sz w:val="24"/>
          <w:szCs w:val="24"/>
          <w:u w:val="thick"/>
        </w:rPr>
      </w:pPr>
      <w:r w:rsidRPr="009D5D28">
        <w:rPr>
          <w:spacing w:val="-3"/>
          <w:sz w:val="24"/>
          <w:szCs w:val="24"/>
          <w:u w:val="thick"/>
        </w:rPr>
        <w:t>Tematický okruh ZDRAVOTNICTVÍ</w:t>
      </w:r>
    </w:p>
    <w:p w14:paraId="4D483427" w14:textId="3CD75AB5" w:rsidR="001349CD" w:rsidRPr="009D5D28" w:rsidRDefault="001349CD" w:rsidP="009D5D28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Zdraví, determinanty zdraví. Ochrana osobních a zvláštních osobních údajů ve zdravotnictví. </w:t>
      </w:r>
    </w:p>
    <w:p w14:paraId="516009CB" w14:textId="4F9E644E" w:rsidR="001349CD" w:rsidRPr="009D5D28" w:rsidRDefault="001349CD" w:rsidP="009D5D28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Preventivní programy v ČR. Základy zdravotnické etiky; Helsinská konvence. </w:t>
      </w:r>
    </w:p>
    <w:p w14:paraId="28F49BA4" w14:textId="2AF1AC80" w:rsidR="001349CD" w:rsidRPr="009D5D28" w:rsidRDefault="001349CD" w:rsidP="009D5D28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Specifika provozu zdravotnických zařízení – dětská oddělení, geriatrie. </w:t>
      </w:r>
    </w:p>
    <w:p w14:paraId="2DC2D9A0" w14:textId="330B6AB8" w:rsidR="001349CD" w:rsidRPr="009D5D28" w:rsidRDefault="001349CD" w:rsidP="009D5D28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Systém sociálního pojištění a zabezpečení v ČR (důchodové pojištění, nemocenské pojištění, státní sociální pomoc). </w:t>
      </w:r>
    </w:p>
    <w:p w14:paraId="0DD4BB3E" w14:textId="7FB4D9F0" w:rsidR="001349CD" w:rsidRPr="009D5D28" w:rsidRDefault="001349CD" w:rsidP="009D5D28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Epidemiologie infekčních a neinfekčních nemocí (terminologie, epidemie, pandemie, sledování, opatření, mezinárodní propojení). </w:t>
      </w:r>
    </w:p>
    <w:p w14:paraId="6EE2DF98" w14:textId="766B2865" w:rsidR="001349CD" w:rsidRPr="009D5D28" w:rsidRDefault="001349CD" w:rsidP="009D5D28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Zdravotnické registry v ČR (právní ukotvení, typy registrů, zásady, přehled, význam, využití). </w:t>
      </w:r>
    </w:p>
    <w:p w14:paraId="4832382A" w14:textId="77777777" w:rsidR="001349CD" w:rsidRPr="009D5D28" w:rsidRDefault="001349CD" w:rsidP="009D5D28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Vymezení pojmů mimořádná událost a krizová situace. Klasifikace hrozeb s potenciálním dopadem na území České republiky a jejich možný vliv na vznik krizové situace. Charakteristika krizových stavů podle právního řádu ČR a podmínky jejich vyhlašování.</w:t>
      </w:r>
    </w:p>
    <w:p w14:paraId="0DB100E0" w14:textId="69C305D1" w:rsidR="001349CD" w:rsidRPr="009D5D28" w:rsidRDefault="001349CD" w:rsidP="009D5D28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Státní správa ve zdravotnictví, hlavní správní úřady, jejich role a kompetence, dopady na provoz zdravotnických zařízení. </w:t>
      </w:r>
    </w:p>
    <w:p w14:paraId="48FA5647" w14:textId="30D718A1" w:rsidR="001349CD" w:rsidRPr="009D5D28" w:rsidRDefault="001349CD" w:rsidP="009D5D28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Řízení zdravotnictví v ČR (právní ukotvení, systém, metody, vztahy zdravotnických zařízení). </w:t>
      </w:r>
    </w:p>
    <w:p w14:paraId="7ECE79C2" w14:textId="62B97F17" w:rsidR="001349CD" w:rsidRPr="009D5D28" w:rsidRDefault="00F571AD" w:rsidP="009D5D28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Právní odpovědnost ve zdravotnictví (zdravotnické zařízení, zdravotnický pracovník, pacient, zdravotnická dokumentace). </w:t>
      </w:r>
    </w:p>
    <w:p w14:paraId="4D094183" w14:textId="77777777" w:rsidR="00F571AD" w:rsidRPr="009D5D28" w:rsidRDefault="00F571AD" w:rsidP="009D5D28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t>Podstata, struktura a význam integrovaného záchranného systému v České republice. Přehled klíčových právních předpisů upravujících jeho činnost. Charakteristika základních a ostatních složek IZS a jejich hlavní úkoly.</w:t>
      </w:r>
    </w:p>
    <w:p w14:paraId="1541E539" w14:textId="32241E9D" w:rsidR="00F571AD" w:rsidRPr="009D5D28" w:rsidRDefault="00F571AD" w:rsidP="009D5D28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Typy klinických studií a jejich hodnocení. Provoz chirurgických zařízení. </w:t>
      </w:r>
    </w:p>
    <w:p w14:paraId="446C7BFC" w14:textId="79E9F163" w:rsidR="00F571AD" w:rsidRPr="009D5D28" w:rsidRDefault="00F571AD" w:rsidP="009D5D28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Orgány ochrany veřejného zdraví (právní ukotvení, systém, pravomoci, typy opatření). </w:t>
      </w:r>
    </w:p>
    <w:p w14:paraId="52111714" w14:textId="3845D0F8" w:rsidR="00F571AD" w:rsidRPr="009D5D28" w:rsidRDefault="00F571AD" w:rsidP="009D5D28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Role a úkoly zdravotních pojišťoven (právní ukotvení, pravomoci, úkoly). </w:t>
      </w:r>
    </w:p>
    <w:p w14:paraId="67998710" w14:textId="77777777" w:rsidR="00F571AD" w:rsidRPr="009D5D28" w:rsidRDefault="00F571AD" w:rsidP="009D5D28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Koordinace složek integrovaného záchranného systému při společném zásahu – úrovně řízení, principy spolupráce a role jednotlivých aktérů. Druhy a význam dokumentace IZS v rámci přípravy a realizace zásahů.</w:t>
      </w:r>
    </w:p>
    <w:p w14:paraId="522B29A0" w14:textId="4AB49422" w:rsidR="00F571AD" w:rsidRPr="009D5D28" w:rsidRDefault="00F571AD" w:rsidP="009D5D28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Práva a povinnosti pacientů (právní ukotvení, předem vyslovené přání, informovaný souhlas, nahlížení do zdravotnické dokumentace). </w:t>
      </w:r>
    </w:p>
    <w:p w14:paraId="1CF92558" w14:textId="77777777" w:rsidR="00F571AD" w:rsidRPr="009D5D28" w:rsidRDefault="00F571AD" w:rsidP="009D5D28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Zásady krizového managementu ve zdravotnictví. Koordinace činností mezi orgány krizového řízení a poskytovateli zdravotních služeb. Klíčové úkoly při zajišťování krizové připravenosti zdravotnického systému. Přehled právních předpisů a specifika traumatologického a krizového plánování.</w:t>
      </w:r>
    </w:p>
    <w:p w14:paraId="1AC3D5F0" w14:textId="77777777" w:rsidR="00F571AD" w:rsidRPr="009D5D28" w:rsidRDefault="00F571AD" w:rsidP="009D5D28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Funkce, struktura a řízení zdravotnické záchranné služby. Klíčové úkoly ZZS a její kooperace s ostatními složkami IZS. Specifika zdravotnického záchranného řetězce a plánování zdravotnické odezvy při mimořádných událostech a krizových situacích.</w:t>
      </w:r>
    </w:p>
    <w:p w14:paraId="7FB6A5CA" w14:textId="2F16242E" w:rsidR="00F571AD" w:rsidRPr="009D5D28" w:rsidRDefault="00F571AD" w:rsidP="009D5D28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Traumatologický plán. Provoz traumatologického oddělení. </w:t>
      </w:r>
    </w:p>
    <w:p w14:paraId="09D79B29" w14:textId="701E3914" w:rsidR="00F571AD" w:rsidRPr="009D5D28" w:rsidRDefault="00F571AD" w:rsidP="009D5D28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D5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Bezpečnost zdravotnických zařízení, specifika typů monoblok a pavilonová nemocnice. Připravenost na živelní pohromy. Kybernetická bezpečnost. </w:t>
      </w:r>
    </w:p>
    <w:p w14:paraId="51C5401B" w14:textId="6D7CB056" w:rsidR="00586D4D" w:rsidRPr="009D5D28" w:rsidRDefault="009E27DA" w:rsidP="009D5D28">
      <w:pPr>
        <w:pStyle w:val="Heading11"/>
        <w:kinsoku w:val="0"/>
        <w:overflowPunct w:val="0"/>
        <w:spacing w:before="480" w:after="240" w:line="251" w:lineRule="exact"/>
        <w:ind w:left="102" w:hanging="102"/>
        <w:jc w:val="center"/>
        <w:outlineLvl w:val="9"/>
        <w:rPr>
          <w:spacing w:val="-3"/>
          <w:sz w:val="24"/>
          <w:szCs w:val="24"/>
          <w:u w:val="thick"/>
        </w:rPr>
      </w:pPr>
      <w:bookmarkStart w:id="0" w:name="_Hlk199407153"/>
      <w:r w:rsidRPr="009D5D28">
        <w:rPr>
          <w:spacing w:val="-3"/>
          <w:sz w:val="24"/>
          <w:szCs w:val="24"/>
          <w:u w:val="thick"/>
        </w:rPr>
        <w:t>Tematický okruh ZDRAVOTNICKÁ TECHNIKA</w:t>
      </w:r>
    </w:p>
    <w:p w14:paraId="77D04CD1" w14:textId="119F65B8" w:rsidR="00F45FD2" w:rsidRPr="009D5D28" w:rsidRDefault="00F45FD2" w:rsidP="009D5D28">
      <w:pPr>
        <w:pStyle w:val="Odstavecseseznamem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</w:pP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 xml:space="preserve">Přehled přístrojů a vybavení jednotek ARO a JIP. Technická infrastruktura jednotek ARO a JIP. Záložní zdroje elektrické energie, medicinální plyny. </w:t>
      </w:r>
    </w:p>
    <w:p w14:paraId="0D1FD76E" w14:textId="38AD1C53" w:rsidR="00F45FD2" w:rsidRPr="009D5D28" w:rsidRDefault="00F45FD2" w:rsidP="009D5D28">
      <w:pPr>
        <w:pStyle w:val="Odstavecseseznamem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</w:pP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Monitor</w:t>
      </w:r>
      <w:r w:rsidR="00CD3CA8"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y</w:t>
      </w: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 xml:space="preserve"> životních funkcí – </w:t>
      </w:r>
      <w:r w:rsidR="00CD3CA8"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p</w:t>
      </w: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řehled měřených veličin, principů měření a výpočtu typických údajů. Fyziologické hodnoty měřených signálů a veličin.  </w:t>
      </w:r>
    </w:p>
    <w:p w14:paraId="199840D9" w14:textId="77777777" w:rsidR="00F45FD2" w:rsidRPr="009D5D28" w:rsidRDefault="00F45FD2" w:rsidP="009D5D28">
      <w:pPr>
        <w:pStyle w:val="Odstavecseseznamem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</w:pP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Defibrilátory, kardiostimulátory, elektrochirurgické jednotky. Základní principy a technické parametry jednotlivých metod. </w:t>
      </w:r>
    </w:p>
    <w:p w14:paraId="00FC8CEB" w14:textId="77777777" w:rsidR="00F45FD2" w:rsidRPr="009D5D28" w:rsidRDefault="00F45FD2" w:rsidP="009D5D28">
      <w:pPr>
        <w:pStyle w:val="Odstavecseseznamem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</w:pP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Umělá plicní ventilace. Přehled základních režimů umělé plicní ventilace, přehled základních pojmů: tlaky PEEP a PIP, frakce kyslíku, dechový objem, minutová ventilace, fyziologické hodnoty krevních plynů.  </w:t>
      </w:r>
    </w:p>
    <w:p w14:paraId="73B6BCCE" w14:textId="77777777" w:rsidR="00F45FD2" w:rsidRPr="009D5D28" w:rsidRDefault="00F45FD2" w:rsidP="009D5D28">
      <w:pPr>
        <w:pStyle w:val="Odstavecseseznamem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</w:pP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RTG, CT. UZV, hybridní zobrazovací systémy. Základní vlastnosti a technické parametry zobrazovacích modalit. Typické použití jednotlivých modalit a jejich omezení.</w:t>
      </w:r>
    </w:p>
    <w:p w14:paraId="16AD28CD" w14:textId="73E31B51" w:rsidR="00F45FD2" w:rsidRPr="009D5D28" w:rsidRDefault="00F45FD2" w:rsidP="009D5D28">
      <w:pPr>
        <w:pStyle w:val="Odstavecseseznamem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</w:pP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Plánování, hodnocení potřeb, výběr, nákup</w:t>
      </w:r>
      <w:r w:rsidR="001E33D8"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 xml:space="preserve"> </w:t>
      </w: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 xml:space="preserve">zdravotnického vybavení. </w:t>
      </w:r>
      <w:r w:rsidR="001E33D8"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 xml:space="preserve">Zadávání veřejných zakázek. </w:t>
      </w: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Studie proveditelnosti.</w:t>
      </w:r>
      <w:r w:rsidR="00317C6B"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 xml:space="preserve"> Přístrojová komise. </w:t>
      </w:r>
    </w:p>
    <w:p w14:paraId="0C02FA8C" w14:textId="4C5AA419" w:rsidR="00F45FD2" w:rsidRPr="009D5D28" w:rsidRDefault="00F45FD2" w:rsidP="009D5D28">
      <w:pPr>
        <w:pStyle w:val="Odstavecseseznamem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</w:pP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Účel použití a pořízení zdravotnické techniky. Předání nového zdravotnického prostředku. Školení bezpečného používání, opravy a údržby zdravotnick</w:t>
      </w:r>
      <w:r w:rsidR="001E33D8"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 xml:space="preserve">ých </w:t>
      </w: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prostředk</w:t>
      </w:r>
      <w:r w:rsidR="001E33D8"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ů</w:t>
      </w: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.</w:t>
      </w:r>
    </w:p>
    <w:p w14:paraId="69527791" w14:textId="77777777" w:rsidR="00F45FD2" w:rsidRPr="009D5D28" w:rsidRDefault="00F45FD2" w:rsidP="009D5D28">
      <w:pPr>
        <w:pStyle w:val="Odstavecseseznamem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</w:pP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Návrh rozmístění místností v nemocnicích – pavilon vs. monoblok. Rozvržení oddělení. Význam čistých prostor. Stavební dispozice pro zajištění odpovídajícího hygienického standardu.</w:t>
      </w:r>
    </w:p>
    <w:p w14:paraId="1BC1E40C" w14:textId="282AA211" w:rsidR="00F45FD2" w:rsidRPr="009D5D28" w:rsidRDefault="00F45FD2" w:rsidP="009D5D28">
      <w:pPr>
        <w:pStyle w:val="Odstavecseseznamem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</w:pP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 xml:space="preserve">Vyhodnocení technických specifikací zdravotnických prostředků. </w:t>
      </w:r>
      <w:r w:rsidR="001E33D8"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 xml:space="preserve">Posouzení předpokládané ceny zdravotnické techniky ve výběrovém řízení. Faktory ovlivňující rozhodování. </w:t>
      </w:r>
    </w:p>
    <w:p w14:paraId="78566930" w14:textId="77777777" w:rsidR="00F45FD2" w:rsidRPr="009D5D28" w:rsidRDefault="00F45FD2" w:rsidP="009D5D28">
      <w:pPr>
        <w:pStyle w:val="Odstavecseseznamem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</w:pP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Management oddělení zobrazovacích metod – Specifika prostor dle požadavků (UZ, RTG, CT, PET, SPECT, MR, endoskopie). Ochrana pacientů a personálu před ionizujícím zářením.</w:t>
      </w:r>
    </w:p>
    <w:p w14:paraId="57CEB778" w14:textId="2FEF69A6" w:rsidR="009E27DA" w:rsidRPr="009D5D28" w:rsidRDefault="009E27DA" w:rsidP="009D5D28">
      <w:pPr>
        <w:pStyle w:val="Odstavecseseznamem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</w:pP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lastRenderedPageBreak/>
        <w:t>Hodnocení zdravotnických technologií. Proces HTA a rozhodování, HT</w:t>
      </w:r>
      <w:r w:rsidR="00317C6B"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A,</w:t>
      </w: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 xml:space="preserve"> </w:t>
      </w:r>
      <w:proofErr w:type="spellStart"/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Core</w:t>
      </w:r>
      <w:proofErr w:type="spellEnd"/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 xml:space="preserve"> model, HTA v ČR.</w:t>
      </w:r>
    </w:p>
    <w:p w14:paraId="198F5BF1" w14:textId="77777777" w:rsidR="001E33D8" w:rsidRPr="009D5D28" w:rsidRDefault="001E33D8" w:rsidP="009D5D28">
      <w:pPr>
        <w:pStyle w:val="Odstavecseseznamem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</w:pP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Získávání důkazů pro studie HTA. Systematické rešerše a meta-analýzy v rámci HTA. Typy primárních klinických studií (RCT, observační). Hodnocení kvality a relevance důkazů.</w:t>
      </w:r>
    </w:p>
    <w:p w14:paraId="1FBECED7" w14:textId="77777777" w:rsidR="009E27DA" w:rsidRPr="009D5D28" w:rsidRDefault="009E27DA" w:rsidP="009D5D28">
      <w:pPr>
        <w:pStyle w:val="Odstavecseseznamem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</w:pP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Kvantifikace přínosů zdravotnických technologií. Přirozené veličiny, kvalita života související se zdravím, QALY a další podobné míry, hodnocení podle více kritérií.</w:t>
      </w:r>
    </w:p>
    <w:p w14:paraId="7611D9A1" w14:textId="77777777" w:rsidR="009E27DA" w:rsidRPr="009D5D28" w:rsidRDefault="009E27DA" w:rsidP="009D5D28">
      <w:pPr>
        <w:pStyle w:val="Odstavecseseznamem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</w:pP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Náklady v rámci klinicko-ekonomického hodnocení, klasifikace nákladů, metody stanovení přímých nákladů, náklady spojené se ztrátou produktivity.</w:t>
      </w:r>
    </w:p>
    <w:p w14:paraId="25D6F94A" w14:textId="45EBE413" w:rsidR="009E27DA" w:rsidRPr="009D5D28" w:rsidRDefault="009E27DA" w:rsidP="009D5D28">
      <w:pPr>
        <w:pStyle w:val="Odstavecseseznamem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</w:pP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Klinicko-ekonomické hodnocení. Výběr metody klinicko-ekonomick</w:t>
      </w:r>
      <w:r w:rsidR="001E33D8"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ého</w:t>
      </w: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 xml:space="preserve"> hodnocení, nastavení analýzy, interpretace výsledků, hranice ochoty platit, analýza citlivosti, základy modelování.</w:t>
      </w:r>
    </w:p>
    <w:p w14:paraId="278D95B6" w14:textId="05998698" w:rsidR="00F45FD2" w:rsidRPr="009D5D28" w:rsidRDefault="00F45FD2" w:rsidP="009D5D28">
      <w:pPr>
        <w:pStyle w:val="Odstavecseseznamem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</w:pPr>
      <w:proofErr w:type="spellStart"/>
      <w:proofErr w:type="gramStart"/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eHea</w:t>
      </w:r>
      <w:r w:rsidR="001E33D8"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l</w:t>
      </w: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th</w:t>
      </w:r>
      <w:proofErr w:type="spellEnd"/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  -</w:t>
      </w:r>
      <w:proofErr w:type="gramEnd"/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 xml:space="preserve"> definice, přínosy, použití ve zdravotnictví. Perspektivy dalšího rozvoje.</w:t>
      </w:r>
    </w:p>
    <w:p w14:paraId="7DB52AED" w14:textId="01B59EA5" w:rsidR="00F45FD2" w:rsidRPr="009D5D28" w:rsidRDefault="00F45FD2" w:rsidP="009D5D28">
      <w:pPr>
        <w:pStyle w:val="Odstavecseseznamem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</w:pPr>
      <w:proofErr w:type="spellStart"/>
      <w:proofErr w:type="gramStart"/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eHealth</w:t>
      </w:r>
      <w:proofErr w:type="spellEnd"/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 xml:space="preserve"> - aktuální</w:t>
      </w:r>
      <w:proofErr w:type="gramEnd"/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 xml:space="preserve"> přehled stavu elektronizace zdravotnictví v ČR. Národní </w:t>
      </w:r>
      <w:proofErr w:type="gramStart"/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systémy - eRecept</w:t>
      </w:r>
      <w:proofErr w:type="gramEnd"/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 xml:space="preserve">, </w:t>
      </w:r>
      <w:proofErr w:type="spellStart"/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ePACS</w:t>
      </w:r>
      <w:proofErr w:type="spellEnd"/>
      <w:r w:rsidR="001E33D8"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 xml:space="preserve">, </w:t>
      </w:r>
      <w:proofErr w:type="spellStart"/>
      <w:r w:rsidR="001E33D8"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eNeschopenka</w:t>
      </w:r>
      <w:proofErr w:type="spellEnd"/>
      <w:r w:rsidR="001E33D8"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 xml:space="preserve">. </w:t>
      </w:r>
    </w:p>
    <w:p w14:paraId="2A3CAEB3" w14:textId="59415A67" w:rsidR="00F45FD2" w:rsidRPr="009D5D28" w:rsidRDefault="00F45FD2" w:rsidP="009D5D28">
      <w:pPr>
        <w:pStyle w:val="Odstavecseseznamem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</w:pP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Základní registry státní správy. Národní zdravotnický informační systém</w:t>
      </w:r>
    </w:p>
    <w:p w14:paraId="7506D261" w14:textId="38A8AE43" w:rsidR="00F45FD2" w:rsidRPr="009D5D28" w:rsidRDefault="00F45FD2" w:rsidP="009D5D28">
      <w:pPr>
        <w:pStyle w:val="Odstavecseseznamem"/>
        <w:numPr>
          <w:ilvl w:val="0"/>
          <w:numId w:val="6"/>
        </w:numPr>
        <w:spacing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</w:pP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Nemocniční informační systém a jeho složky (KIS, RIS, LIS, PACS).</w:t>
      </w:r>
    </w:p>
    <w:p w14:paraId="21C1CCC6" w14:textId="16DFCEBF" w:rsidR="00F45FD2" w:rsidRPr="009D5D28" w:rsidRDefault="00F45FD2" w:rsidP="00E75CAB">
      <w:pPr>
        <w:pStyle w:val="Odstavecseseznamem"/>
        <w:numPr>
          <w:ilvl w:val="0"/>
          <w:numId w:val="6"/>
        </w:numPr>
        <w:spacing w:after="1320" w:line="240" w:lineRule="auto"/>
        <w:ind w:left="425" w:hanging="357"/>
        <w:contextualSpacing w:val="0"/>
        <w:jc w:val="both"/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</w:pPr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 xml:space="preserve">Informační systémy ve </w:t>
      </w:r>
      <w:proofErr w:type="gramStart"/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zdravotnictví - bezpečnost</w:t>
      </w:r>
      <w:proofErr w:type="gramEnd"/>
      <w:r w:rsidRPr="009D5D28">
        <w:rPr>
          <w:rFonts w:ascii="Times New Roman" w:eastAsia="Times New Roman" w:hAnsi="Times New Roman" w:cstheme="minorHAnsi"/>
          <w:color w:val="000000"/>
          <w:kern w:val="0"/>
          <w:szCs w:val="24"/>
          <w:lang w:eastAsia="cs-CZ"/>
          <w14:ligatures w14:val="none"/>
        </w:rPr>
        <w:t>, implementace.</w:t>
      </w:r>
    </w:p>
    <w:bookmarkEnd w:id="0"/>
    <w:p w14:paraId="7B19C7EE" w14:textId="23948E84" w:rsidR="009D5D28" w:rsidRPr="00E75CAB" w:rsidRDefault="009D5D28" w:rsidP="000032D7">
      <w:pPr>
        <w:spacing w:after="240" w:line="257" w:lineRule="auto"/>
        <w:rPr>
          <w:rFonts w:ascii="Times New Roman" w:hAnsi="Times New Roman" w:cs="Times New Roman"/>
        </w:rPr>
      </w:pPr>
      <w:r w:rsidRPr="00E75CAB">
        <w:rPr>
          <w:rFonts w:ascii="Times New Roman" w:hAnsi="Times New Roman" w:cs="Times New Roman"/>
        </w:rPr>
        <w:t xml:space="preserve">Schváleno RSP Systémová integrace procesů ve zdravotnictví dne </w:t>
      </w:r>
      <w:r w:rsidR="00E75CAB" w:rsidRPr="00E75CAB">
        <w:rPr>
          <w:rFonts w:ascii="Times New Roman" w:hAnsi="Times New Roman" w:cs="Times New Roman"/>
        </w:rPr>
        <w:t>12</w:t>
      </w:r>
      <w:r w:rsidRPr="00E75CAB">
        <w:rPr>
          <w:rFonts w:ascii="Times New Roman" w:hAnsi="Times New Roman" w:cs="Times New Roman"/>
        </w:rPr>
        <w:t xml:space="preserve">. </w:t>
      </w:r>
      <w:r w:rsidR="00E75CAB" w:rsidRPr="00E75CAB">
        <w:rPr>
          <w:rFonts w:ascii="Times New Roman" w:hAnsi="Times New Roman" w:cs="Times New Roman"/>
        </w:rPr>
        <w:t>6</w:t>
      </w:r>
      <w:r w:rsidRPr="00E75CAB">
        <w:rPr>
          <w:rFonts w:ascii="Times New Roman" w:hAnsi="Times New Roman" w:cs="Times New Roman"/>
        </w:rPr>
        <w:t>. 202</w:t>
      </w:r>
      <w:r w:rsidR="00E75CAB" w:rsidRPr="00E75CAB">
        <w:rPr>
          <w:rFonts w:ascii="Times New Roman" w:hAnsi="Times New Roman" w:cs="Times New Roman"/>
        </w:rPr>
        <w:t>5</w:t>
      </w:r>
      <w:r w:rsidRPr="00E75CAB">
        <w:rPr>
          <w:rFonts w:ascii="Times New Roman" w:hAnsi="Times New Roman" w:cs="Times New Roman"/>
        </w:rPr>
        <w:t>.</w:t>
      </w:r>
    </w:p>
    <w:p w14:paraId="0562ABD1" w14:textId="77777777" w:rsidR="00800610" w:rsidRDefault="00800610" w:rsidP="00E75CAB">
      <w:pPr>
        <w:spacing w:after="60" w:line="256" w:lineRule="auto"/>
        <w:rPr>
          <w:rFonts w:ascii="Times New Roman" w:hAnsi="Times New Roman" w:cs="Times New Roman"/>
        </w:rPr>
      </w:pPr>
    </w:p>
    <w:p w14:paraId="5B836029" w14:textId="26C241CA" w:rsidR="009D5D28" w:rsidRPr="00E75CAB" w:rsidRDefault="009D5D28" w:rsidP="00E75CAB">
      <w:pPr>
        <w:spacing w:after="60" w:line="256" w:lineRule="auto"/>
        <w:rPr>
          <w:rFonts w:ascii="Times New Roman" w:hAnsi="Times New Roman" w:cs="Times New Roman"/>
        </w:rPr>
      </w:pPr>
      <w:r w:rsidRPr="00E75CAB">
        <w:rPr>
          <w:rFonts w:ascii="Times New Roman" w:hAnsi="Times New Roman" w:cs="Times New Roman"/>
        </w:rPr>
        <w:t xml:space="preserve">V </w:t>
      </w:r>
      <w:r w:rsidRPr="00E75CAB">
        <w:rPr>
          <w:rFonts w:ascii="Times New Roman" w:hAnsi="Times New Roman" w:cs="Times New Roman"/>
          <w:spacing w:val="-2"/>
        </w:rPr>
        <w:t>Kladně</w:t>
      </w:r>
      <w:r w:rsidRPr="00E75CAB">
        <w:rPr>
          <w:rFonts w:ascii="Times New Roman" w:hAnsi="Times New Roman" w:cs="Times New Roman"/>
          <w:spacing w:val="-4"/>
        </w:rPr>
        <w:t xml:space="preserve"> </w:t>
      </w:r>
      <w:r w:rsidRPr="00E75CAB">
        <w:rPr>
          <w:rFonts w:ascii="Times New Roman" w:hAnsi="Times New Roman" w:cs="Times New Roman"/>
          <w:spacing w:val="2"/>
        </w:rPr>
        <w:t xml:space="preserve">dne </w:t>
      </w:r>
      <w:r w:rsidR="008614F8">
        <w:rPr>
          <w:rFonts w:ascii="Times New Roman" w:hAnsi="Times New Roman" w:cs="Times New Roman"/>
          <w:spacing w:val="2"/>
        </w:rPr>
        <w:t>5.</w:t>
      </w:r>
      <w:r w:rsidR="00497954">
        <w:rPr>
          <w:rFonts w:ascii="Times New Roman" w:hAnsi="Times New Roman" w:cs="Times New Roman"/>
          <w:spacing w:val="2"/>
        </w:rPr>
        <w:t xml:space="preserve"> </w:t>
      </w:r>
      <w:r w:rsidR="008614F8">
        <w:rPr>
          <w:rFonts w:ascii="Times New Roman" w:hAnsi="Times New Roman" w:cs="Times New Roman"/>
          <w:spacing w:val="2"/>
        </w:rPr>
        <w:t>1.</w:t>
      </w:r>
      <w:r w:rsidR="00497954">
        <w:rPr>
          <w:rFonts w:ascii="Times New Roman" w:hAnsi="Times New Roman" w:cs="Times New Roman"/>
          <w:spacing w:val="2"/>
        </w:rPr>
        <w:t xml:space="preserve"> </w:t>
      </w:r>
      <w:r w:rsidR="008614F8">
        <w:rPr>
          <w:rFonts w:ascii="Times New Roman" w:hAnsi="Times New Roman" w:cs="Times New Roman"/>
          <w:spacing w:val="2"/>
        </w:rPr>
        <w:t>2026</w:t>
      </w:r>
    </w:p>
    <w:p w14:paraId="6998CE11" w14:textId="4A8C1E19" w:rsidR="008614F8" w:rsidRDefault="009D5D28" w:rsidP="008614F8">
      <w:pPr>
        <w:pStyle w:val="Odstavecseseznamem"/>
        <w:tabs>
          <w:tab w:val="center" w:pos="1701"/>
          <w:tab w:val="center" w:pos="7088"/>
        </w:tabs>
        <w:kinsoku w:val="0"/>
        <w:overflowPunct w:val="0"/>
        <w:spacing w:after="120" w:line="220" w:lineRule="exact"/>
        <w:contextualSpacing w:val="0"/>
        <w:rPr>
          <w:spacing w:val="3"/>
        </w:rPr>
      </w:pPr>
      <w:r w:rsidRPr="009D5D28">
        <w:rPr>
          <w:spacing w:val="3"/>
        </w:rPr>
        <w:tab/>
      </w:r>
    </w:p>
    <w:p w14:paraId="286562C0" w14:textId="77777777" w:rsidR="008614F8" w:rsidRDefault="008614F8" w:rsidP="008614F8">
      <w:pPr>
        <w:pStyle w:val="Odstavecseseznamem"/>
        <w:tabs>
          <w:tab w:val="center" w:pos="1701"/>
          <w:tab w:val="center" w:pos="7088"/>
        </w:tabs>
        <w:kinsoku w:val="0"/>
        <w:overflowPunct w:val="0"/>
        <w:spacing w:after="120" w:line="220" w:lineRule="exact"/>
        <w:contextualSpacing w:val="0"/>
        <w:rPr>
          <w:spacing w:val="3"/>
        </w:rPr>
      </w:pPr>
    </w:p>
    <w:p w14:paraId="3CC7B49A" w14:textId="26265A5D" w:rsidR="009D5D28" w:rsidRPr="00E75CAB" w:rsidRDefault="009D5D28" w:rsidP="008614F8">
      <w:pPr>
        <w:pStyle w:val="Odstavecseseznamem"/>
        <w:tabs>
          <w:tab w:val="center" w:pos="1701"/>
          <w:tab w:val="center" w:pos="7088"/>
        </w:tabs>
        <w:kinsoku w:val="0"/>
        <w:overflowPunct w:val="0"/>
        <w:spacing w:after="0" w:line="220" w:lineRule="exact"/>
        <w:contextualSpacing w:val="0"/>
        <w:rPr>
          <w:rFonts w:ascii="Times New Roman" w:hAnsi="Times New Roman" w:cs="Times New Roman"/>
        </w:rPr>
      </w:pPr>
      <w:r w:rsidRPr="00E75CAB">
        <w:rPr>
          <w:rFonts w:ascii="Times New Roman" w:hAnsi="Times New Roman" w:cs="Times New Roman"/>
          <w:spacing w:val="3"/>
        </w:rPr>
        <w:t>prof. MUDr. Jozef Rosina, Ph.D., MBA</w:t>
      </w:r>
      <w:r w:rsidRPr="00E75CAB">
        <w:rPr>
          <w:rFonts w:ascii="Times New Roman" w:hAnsi="Times New Roman" w:cs="Times New Roman"/>
        </w:rPr>
        <w:tab/>
        <w:t>doc. Ing. Martin Rožánek</w:t>
      </w:r>
      <w:r w:rsidRPr="00E75CAB">
        <w:rPr>
          <w:rFonts w:ascii="Times New Roman" w:hAnsi="Times New Roman" w:cs="Times New Roman"/>
          <w:spacing w:val="-1"/>
        </w:rPr>
        <w:t>, Ph.D.</w:t>
      </w:r>
      <w:r w:rsidRPr="00E75CAB">
        <w:rPr>
          <w:rFonts w:ascii="Times New Roman" w:hAnsi="Times New Roman" w:cs="Times New Roman"/>
          <w:spacing w:val="3"/>
          <w:sz w:val="28"/>
        </w:rPr>
        <w:t xml:space="preserve"> </w:t>
      </w:r>
    </w:p>
    <w:p w14:paraId="546858FA" w14:textId="322669F0" w:rsidR="009D5D28" w:rsidRPr="00E75CAB" w:rsidRDefault="009D5D28" w:rsidP="008614F8">
      <w:pPr>
        <w:pStyle w:val="Odstavecseseznamem"/>
        <w:tabs>
          <w:tab w:val="center" w:pos="1701"/>
          <w:tab w:val="center" w:pos="7088"/>
        </w:tabs>
        <w:kinsoku w:val="0"/>
        <w:overflowPunct w:val="0"/>
        <w:spacing w:after="0" w:line="220" w:lineRule="exact"/>
        <w:contextualSpacing w:val="0"/>
        <w:rPr>
          <w:rFonts w:ascii="Times New Roman" w:hAnsi="Times New Roman" w:cs="Times New Roman"/>
        </w:rPr>
      </w:pPr>
      <w:r w:rsidRPr="00E75CAB">
        <w:rPr>
          <w:rFonts w:ascii="Times New Roman" w:hAnsi="Times New Roman" w:cs="Times New Roman"/>
        </w:rPr>
        <w:tab/>
        <w:t xml:space="preserve">     </w:t>
      </w:r>
      <w:r w:rsidR="008614F8">
        <w:rPr>
          <w:rFonts w:ascii="Times New Roman" w:hAnsi="Times New Roman" w:cs="Times New Roman"/>
        </w:rPr>
        <w:t xml:space="preserve">             </w:t>
      </w:r>
      <w:r w:rsidRPr="00E75CAB">
        <w:rPr>
          <w:rFonts w:ascii="Times New Roman" w:hAnsi="Times New Roman" w:cs="Times New Roman"/>
        </w:rPr>
        <w:t xml:space="preserve"> </w:t>
      </w:r>
      <w:r w:rsidRPr="00E75CAB">
        <w:rPr>
          <w:rFonts w:ascii="Times New Roman" w:hAnsi="Times New Roman" w:cs="Times New Roman"/>
          <w:spacing w:val="3"/>
        </w:rPr>
        <w:t>děkan fakulty</w:t>
      </w:r>
      <w:r w:rsidRPr="00E75CAB">
        <w:rPr>
          <w:rFonts w:ascii="Times New Roman" w:hAnsi="Times New Roman" w:cs="Times New Roman"/>
        </w:rPr>
        <w:tab/>
      </w:r>
      <w:r w:rsidRPr="00E75CAB">
        <w:rPr>
          <w:rFonts w:ascii="Times New Roman" w:hAnsi="Times New Roman" w:cs="Times New Roman"/>
          <w:spacing w:val="3"/>
        </w:rPr>
        <w:t>vedoucí katedry biomedicínské techniky</w:t>
      </w:r>
    </w:p>
    <w:p w14:paraId="4F67FE6E" w14:textId="77777777" w:rsidR="00F45FD2" w:rsidRPr="00F45FD2" w:rsidRDefault="00F45FD2" w:rsidP="00F45FD2">
      <w:pPr>
        <w:ind w:left="360"/>
        <w:rPr>
          <w:rFonts w:ascii="Calibri" w:hAnsi="Calibri" w:cs="Calibri"/>
        </w:rPr>
      </w:pPr>
    </w:p>
    <w:p w14:paraId="1C4D795C" w14:textId="77777777" w:rsidR="009E27DA" w:rsidRPr="009E27DA" w:rsidRDefault="009E27DA" w:rsidP="009E27DA">
      <w:pPr>
        <w:spacing w:before="16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sectPr w:rsidR="009E27DA" w:rsidRPr="009E2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0A47"/>
    <w:multiLevelType w:val="hybridMultilevel"/>
    <w:tmpl w:val="10B69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80F"/>
    <w:multiLevelType w:val="hybridMultilevel"/>
    <w:tmpl w:val="FF2A74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8061C"/>
    <w:multiLevelType w:val="hybridMultilevel"/>
    <w:tmpl w:val="3B0808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F1ABB"/>
    <w:multiLevelType w:val="hybridMultilevel"/>
    <w:tmpl w:val="BC6E4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00193"/>
    <w:multiLevelType w:val="hybridMultilevel"/>
    <w:tmpl w:val="45869B26"/>
    <w:lvl w:ilvl="0" w:tplc="0C5C8B6A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C57AC"/>
    <w:multiLevelType w:val="hybridMultilevel"/>
    <w:tmpl w:val="659209F0"/>
    <w:lvl w:ilvl="0" w:tplc="7E6ED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46E74"/>
    <w:multiLevelType w:val="multilevel"/>
    <w:tmpl w:val="4C78E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5A1944"/>
    <w:multiLevelType w:val="hybridMultilevel"/>
    <w:tmpl w:val="147630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1F45E0"/>
    <w:multiLevelType w:val="multilevel"/>
    <w:tmpl w:val="D4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280D8C"/>
    <w:multiLevelType w:val="hybridMultilevel"/>
    <w:tmpl w:val="B6D6D9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C0ADD"/>
    <w:multiLevelType w:val="hybridMultilevel"/>
    <w:tmpl w:val="BF4C8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C64E7"/>
    <w:multiLevelType w:val="hybridMultilevel"/>
    <w:tmpl w:val="0400F470"/>
    <w:lvl w:ilvl="0" w:tplc="6A34AEAC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F6315"/>
    <w:multiLevelType w:val="multilevel"/>
    <w:tmpl w:val="C2EA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3174165">
    <w:abstractNumId w:val="1"/>
  </w:num>
  <w:num w:numId="2" w16cid:durableId="835725214">
    <w:abstractNumId w:val="7"/>
  </w:num>
  <w:num w:numId="3" w16cid:durableId="388579008">
    <w:abstractNumId w:val="2"/>
  </w:num>
  <w:num w:numId="4" w16cid:durableId="1602451984">
    <w:abstractNumId w:val="3"/>
  </w:num>
  <w:num w:numId="5" w16cid:durableId="2086146828">
    <w:abstractNumId w:val="0"/>
  </w:num>
  <w:num w:numId="6" w16cid:durableId="561671723">
    <w:abstractNumId w:val="5"/>
  </w:num>
  <w:num w:numId="7" w16cid:durableId="394134128">
    <w:abstractNumId w:val="8"/>
  </w:num>
  <w:num w:numId="8" w16cid:durableId="280117300">
    <w:abstractNumId w:val="12"/>
  </w:num>
  <w:num w:numId="9" w16cid:durableId="1255631322">
    <w:abstractNumId w:val="6"/>
  </w:num>
  <w:num w:numId="10" w16cid:durableId="48723487">
    <w:abstractNumId w:val="10"/>
  </w:num>
  <w:num w:numId="11" w16cid:durableId="911541841">
    <w:abstractNumId w:val="11"/>
  </w:num>
  <w:num w:numId="12" w16cid:durableId="1658604940">
    <w:abstractNumId w:val="4"/>
  </w:num>
  <w:num w:numId="13" w16cid:durableId="19337077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DF"/>
    <w:rsid w:val="000032D7"/>
    <w:rsid w:val="00030A22"/>
    <w:rsid w:val="001349CD"/>
    <w:rsid w:val="00161196"/>
    <w:rsid w:val="001A1797"/>
    <w:rsid w:val="001E33D8"/>
    <w:rsid w:val="00283DEC"/>
    <w:rsid w:val="00292755"/>
    <w:rsid w:val="00317C6B"/>
    <w:rsid w:val="00346F60"/>
    <w:rsid w:val="00381952"/>
    <w:rsid w:val="003D4E16"/>
    <w:rsid w:val="00497954"/>
    <w:rsid w:val="0058109C"/>
    <w:rsid w:val="00586D4D"/>
    <w:rsid w:val="005B3267"/>
    <w:rsid w:val="007C79D2"/>
    <w:rsid w:val="00800610"/>
    <w:rsid w:val="0080399A"/>
    <w:rsid w:val="008614F8"/>
    <w:rsid w:val="00900532"/>
    <w:rsid w:val="00924FA4"/>
    <w:rsid w:val="009312DF"/>
    <w:rsid w:val="00966409"/>
    <w:rsid w:val="009D5D28"/>
    <w:rsid w:val="009E27DA"/>
    <w:rsid w:val="009F70FE"/>
    <w:rsid w:val="00A56472"/>
    <w:rsid w:val="00BB4A82"/>
    <w:rsid w:val="00BE33BF"/>
    <w:rsid w:val="00C17480"/>
    <w:rsid w:val="00C22679"/>
    <w:rsid w:val="00CD3CA8"/>
    <w:rsid w:val="00D8181C"/>
    <w:rsid w:val="00D95930"/>
    <w:rsid w:val="00D96E8B"/>
    <w:rsid w:val="00E75CAB"/>
    <w:rsid w:val="00F45FD2"/>
    <w:rsid w:val="00F571AD"/>
    <w:rsid w:val="00F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4D1D"/>
  <w15:chartTrackingRefBased/>
  <w15:docId w15:val="{C394B24A-48D3-46E4-A1D7-63AEE40F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1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1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1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1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1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1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1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1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1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1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1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12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2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12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12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12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12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1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1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1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1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1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12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12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12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12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12DF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uiPriority w:val="99"/>
    <w:unhideWhenUsed/>
    <w:rsid w:val="00283DEC"/>
    <w:pPr>
      <w:spacing w:after="12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83DE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F4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ext">
    <w:name w:val="text"/>
    <w:basedOn w:val="Normln"/>
    <w:uiPriority w:val="1"/>
    <w:qFormat/>
    <w:rsid w:val="009D5D28"/>
    <w:pPr>
      <w:widowControl w:val="0"/>
      <w:kinsoku w:val="0"/>
      <w:overflowPunct w:val="0"/>
      <w:autoSpaceDE w:val="0"/>
      <w:autoSpaceDN w:val="0"/>
      <w:adjustRightInd w:val="0"/>
      <w:spacing w:after="120" w:line="250" w:lineRule="exact"/>
      <w:ind w:firstLine="425"/>
      <w:jc w:val="both"/>
    </w:pPr>
    <w:rPr>
      <w:rFonts w:ascii="Times New Roman" w:eastAsia="Times New Roman" w:hAnsi="Times New Roman" w:cs="Times New Roman"/>
      <w:spacing w:val="-2"/>
      <w:kern w:val="0"/>
      <w:sz w:val="24"/>
      <w:szCs w:val="24"/>
      <w:lang w:eastAsia="cs-CZ"/>
      <w14:ligatures w14:val="none"/>
    </w:rPr>
  </w:style>
  <w:style w:type="paragraph" w:customStyle="1" w:styleId="Heading11">
    <w:name w:val="Heading 11"/>
    <w:basedOn w:val="Normln"/>
    <w:uiPriority w:val="1"/>
    <w:qFormat/>
    <w:rsid w:val="009D5D28"/>
    <w:pPr>
      <w:widowControl w:val="0"/>
      <w:autoSpaceDE w:val="0"/>
      <w:autoSpaceDN w:val="0"/>
      <w:adjustRightInd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kern w:val="0"/>
      <w:u w:val="single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D5D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D5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26C5A1D318FB46B808DC2E420F1304" ma:contentTypeVersion="14" ma:contentTypeDescription="Vytvoří nový dokument" ma:contentTypeScope="" ma:versionID="ba470789aee1c12f35055b3658c6c24e">
  <xsd:schema xmlns:xsd="http://www.w3.org/2001/XMLSchema" xmlns:xs="http://www.w3.org/2001/XMLSchema" xmlns:p="http://schemas.microsoft.com/office/2006/metadata/properties" xmlns:ns3="f878de75-5e61-4cab-9217-ce734b396c7d" xmlns:ns4="160402a9-960c-4349-a7a5-bb522c5c0383" targetNamespace="http://schemas.microsoft.com/office/2006/metadata/properties" ma:root="true" ma:fieldsID="529e37709a926592095a6014a53a0e0f" ns3:_="" ns4:_="">
    <xsd:import namespace="f878de75-5e61-4cab-9217-ce734b396c7d"/>
    <xsd:import namespace="160402a9-960c-4349-a7a5-bb522c5c03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8de75-5e61-4cab-9217-ce734b396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02a9-960c-4349-a7a5-bb522c5c0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78de75-5e61-4cab-9217-ce734b396c7d" xsi:nil="true"/>
  </documentManagement>
</p:properties>
</file>

<file path=customXml/itemProps1.xml><?xml version="1.0" encoding="utf-8"?>
<ds:datastoreItem xmlns:ds="http://schemas.openxmlformats.org/officeDocument/2006/customXml" ds:itemID="{62D00A3A-7580-4155-A845-D061C4C26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8de75-5e61-4cab-9217-ce734b396c7d"/>
    <ds:schemaRef ds:uri="160402a9-960c-4349-a7a5-bb522c5c0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37F2D-356A-48AF-8394-51697E5F2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53214-9B73-4370-B245-BEC17BA2C04B}">
  <ds:schemaRefs>
    <ds:schemaRef ds:uri="http://schemas.microsoft.com/office/2006/metadata/properties"/>
    <ds:schemaRef ds:uri="http://schemas.microsoft.com/office/infopath/2007/PartnerControls"/>
    <ds:schemaRef ds:uri="f878de75-5e61-4cab-9217-ce734b396c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1601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Caithamlova, Martina</dc:creator>
  <cp:keywords/>
  <dc:description/>
  <cp:lastModifiedBy>Hon, Zdenek</cp:lastModifiedBy>
  <cp:revision>8</cp:revision>
  <dcterms:created xsi:type="dcterms:W3CDTF">2025-10-29T21:43:00Z</dcterms:created>
  <dcterms:modified xsi:type="dcterms:W3CDTF">2025-12-18T20:38:00Z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0x0101002A26C5A1D318FB46B808DC2E420F1304</vt:lpwstr>
  </property>
</Properties>
</file>